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Pr="008F12D2" w:rsidRDefault="008F12D2" w:rsidP="008F12D2">
      <w:pPr>
        <w:jc w:val="center"/>
        <w:rPr>
          <w:b/>
          <w:sz w:val="28"/>
          <w:szCs w:val="28"/>
        </w:rPr>
      </w:pPr>
      <w:r w:rsidRPr="008F12D2">
        <w:rPr>
          <w:b/>
          <w:sz w:val="28"/>
          <w:szCs w:val="28"/>
        </w:rPr>
        <w:t>SL.</w:t>
      </w:r>
      <w:r w:rsidR="0048681F">
        <w:rPr>
          <w:b/>
          <w:sz w:val="28"/>
          <w:szCs w:val="28"/>
        </w:rPr>
        <w:t>2</w:t>
      </w:r>
      <w:r w:rsidRPr="008F12D2">
        <w:rPr>
          <w:b/>
          <w:sz w:val="28"/>
          <w:szCs w:val="28"/>
        </w:rPr>
        <w:t xml:space="preserve"> Rubrics</w:t>
      </w:r>
    </w:p>
    <w:p w:rsidR="008F12D2" w:rsidRPr="00455F0E" w:rsidRDefault="008F12D2" w:rsidP="008F12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5F0E">
        <w:rPr>
          <w:sz w:val="28"/>
          <w:szCs w:val="28"/>
        </w:rPr>
        <w:t xml:space="preserve">Use these rubrics as you score students to the standard.  </w:t>
      </w:r>
      <w:r>
        <w:rPr>
          <w:sz w:val="28"/>
          <w:szCs w:val="28"/>
        </w:rPr>
        <w:t>Although all components of the standard should be addressed, components are shaded out until the expectation is proficiency.</w:t>
      </w:r>
    </w:p>
    <w:p w:rsidR="008F12D2" w:rsidRPr="008F12D2" w:rsidRDefault="008F12D2" w:rsidP="008F12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light of the shading, be aware that all CCSS standards are</w:t>
      </w:r>
      <w:r w:rsidRPr="00455F0E">
        <w:rPr>
          <w:sz w:val="28"/>
          <w:szCs w:val="28"/>
        </w:rPr>
        <w:t xml:space="preserve"> </w:t>
      </w:r>
      <w:r w:rsidRPr="00455F0E">
        <w:rPr>
          <w:b/>
          <w:i/>
          <w:sz w:val="28"/>
          <w:szCs w:val="28"/>
          <w:u w:val="single"/>
        </w:rPr>
        <w:t>end of the year expectations</w:t>
      </w:r>
      <w:r w:rsidRPr="00455F0E">
        <w:rPr>
          <w:i/>
          <w:sz w:val="28"/>
          <w:szCs w:val="28"/>
        </w:rPr>
        <w:t>.</w:t>
      </w:r>
      <w:r w:rsidRPr="00455F0E">
        <w:rPr>
          <w:sz w:val="28"/>
          <w:szCs w:val="28"/>
        </w:rPr>
        <w:t xml:space="preserve">  Discuss your expectations for eac</w:t>
      </w:r>
      <w:r>
        <w:rPr>
          <w:sz w:val="28"/>
          <w:szCs w:val="28"/>
        </w:rPr>
        <w:t>h quarter with your building leaders and grade level team, and adjust this rubric accordingly.</w:t>
      </w:r>
    </w:p>
    <w:p w:rsidR="008F12D2" w:rsidRDefault="008F12D2" w:rsidP="008F12D2"/>
    <w:p w:rsidR="008F12D2" w:rsidRPr="008F12D2" w:rsidRDefault="008F12D2" w:rsidP="008F12D2">
      <w:pPr>
        <w:jc w:val="center"/>
        <w:rPr>
          <w:b/>
          <w:sz w:val="28"/>
          <w:szCs w:val="28"/>
        </w:rPr>
      </w:pPr>
      <w:r w:rsidRPr="008F12D2">
        <w:rPr>
          <w:b/>
          <w:sz w:val="28"/>
          <w:szCs w:val="28"/>
        </w:rPr>
        <w:t xml:space="preserve">Kindergarten </w:t>
      </w:r>
    </w:p>
    <w:p w:rsidR="008F12D2" w:rsidRPr="008F12D2" w:rsidRDefault="008F12D2" w:rsidP="008F12D2">
      <w:pPr>
        <w:jc w:val="center"/>
        <w:rPr>
          <w:b/>
          <w:sz w:val="28"/>
          <w:szCs w:val="28"/>
        </w:rPr>
      </w:pPr>
      <w:r w:rsidRPr="008F12D2">
        <w:rPr>
          <w:b/>
          <w:sz w:val="28"/>
          <w:szCs w:val="28"/>
        </w:rPr>
        <w:t>SL.K.</w:t>
      </w:r>
      <w:r w:rsidR="0048681F">
        <w:rPr>
          <w:b/>
          <w:sz w:val="28"/>
          <w:szCs w:val="28"/>
        </w:rPr>
        <w:t>2  Confirm understanding of a text read aloud or information presented orally or through other media by asking and answering questions about key details and requesting clarification if something is not understood.</w:t>
      </w:r>
      <w:r w:rsidR="00730597">
        <w:rPr>
          <w:b/>
          <w:sz w:val="28"/>
          <w:szCs w:val="28"/>
        </w:rPr>
        <w:t xml:space="preserve"> (See RL.K.2 and RI.K.2)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8F12D2" w:rsidTr="00AC52FE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55F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55F0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55F0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55F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8F12D2" w:rsidTr="0048681F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Pr="00455F0E" w:rsidRDefault="0048681F" w:rsidP="00486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teacher-posed questions about a text read aloud, video, or painting.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2D2" w:rsidTr="0048681F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Pr="00455F0E" w:rsidRDefault="0048681F" w:rsidP="008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 questions about a text read aloud, video, or painting.  Teacher provides sentence stems to assist students in asking appropriate questions.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2D2" w:rsidTr="008F12D2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Pr="00455F0E" w:rsidRDefault="0048681F" w:rsidP="00486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response to teacher questions about student understanding, request clarification if something is not understood 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2D2" w:rsidTr="00AC52FE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48681F" w:rsidP="00AC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teacher-provided sentence</w:t>
            </w:r>
            <w:r w:rsidR="00821561">
              <w:rPr>
                <w:b/>
                <w:sz w:val="20"/>
                <w:szCs w:val="20"/>
              </w:rPr>
              <w:t xml:space="preserve"> stems, request clarification if</w:t>
            </w:r>
            <w:r>
              <w:rPr>
                <w:b/>
                <w:sz w:val="20"/>
                <w:szCs w:val="20"/>
              </w:rPr>
              <w:t xml:space="preserve"> something is not understood.</w:t>
            </w:r>
          </w:p>
          <w:p w:rsidR="008F12D2" w:rsidRDefault="008F12D2" w:rsidP="00AC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681F" w:rsidRDefault="0048681F" w:rsidP="008F12D2">
      <w:pPr>
        <w:jc w:val="center"/>
        <w:rPr>
          <w:b/>
          <w:sz w:val="28"/>
          <w:szCs w:val="28"/>
        </w:rPr>
      </w:pPr>
    </w:p>
    <w:p w:rsidR="008F12D2" w:rsidRDefault="008F12D2" w:rsidP="008F1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First Grade</w:t>
      </w:r>
    </w:p>
    <w:p w:rsidR="008F12D2" w:rsidRDefault="008F12D2" w:rsidP="008F1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SL.1.</w:t>
      </w:r>
      <w:r w:rsidR="0048681F">
        <w:rPr>
          <w:b/>
          <w:sz w:val="28"/>
          <w:szCs w:val="28"/>
        </w:rPr>
        <w:t>2 Ask and answer questions about key details in a text read aloud or information presented orally or through other media.</w:t>
      </w:r>
      <w:r w:rsidR="00730597">
        <w:rPr>
          <w:b/>
          <w:sz w:val="28"/>
          <w:szCs w:val="28"/>
        </w:rPr>
        <w:t xml:space="preserve">  (See RL.1.2 and RI.1.2)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8F12D2" w:rsidTr="00AC52FE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55F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55F0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55F0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55F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8F12D2" w:rsidTr="00730597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Pr="00455F0E" w:rsidRDefault="0048681F" w:rsidP="007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Ask questions about a </w:t>
            </w:r>
            <w:r w:rsidR="00730597">
              <w:rPr>
                <w:b/>
                <w:sz w:val="20"/>
                <w:szCs w:val="20"/>
              </w:rPr>
              <w:t xml:space="preserve">specific details in </w:t>
            </w:r>
            <w:r>
              <w:rPr>
                <w:b/>
                <w:sz w:val="20"/>
                <w:szCs w:val="20"/>
              </w:rPr>
              <w:t xml:space="preserve">text read aloud, video, or painting.  </w:t>
            </w:r>
            <w:r w:rsidR="0073059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Students choose from a bank of sentence stems to craft questions</w:t>
            </w:r>
            <w:r w:rsidR="00730597">
              <w:rPr>
                <w:b/>
                <w:sz w:val="20"/>
                <w:szCs w:val="20"/>
              </w:rPr>
              <w:t xml:space="preserve"> about details)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2D2" w:rsidTr="000C7A77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Pr="00455F0E" w:rsidRDefault="0048681F" w:rsidP="007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Answer questions about important details in a </w:t>
            </w:r>
            <w:r w:rsidR="00730597">
              <w:rPr>
                <w:b/>
                <w:sz w:val="20"/>
                <w:szCs w:val="20"/>
              </w:rPr>
              <w:t>text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7305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8F12D2" w:rsidRDefault="008F12D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12D2" w:rsidRDefault="008F12D2" w:rsidP="008F12D2">
      <w:pPr>
        <w:jc w:val="center"/>
        <w:rPr>
          <w:b/>
          <w:sz w:val="28"/>
          <w:szCs w:val="28"/>
        </w:rPr>
      </w:pPr>
    </w:p>
    <w:p w:rsidR="008F12D2" w:rsidRDefault="008F12D2" w:rsidP="008F12D2">
      <w:pPr>
        <w:jc w:val="center"/>
        <w:rPr>
          <w:b/>
          <w:sz w:val="28"/>
          <w:szCs w:val="28"/>
        </w:rPr>
      </w:pPr>
    </w:p>
    <w:p w:rsidR="008F12D2" w:rsidRDefault="008F12D2" w:rsidP="008F12D2">
      <w:pPr>
        <w:jc w:val="center"/>
        <w:rPr>
          <w:b/>
          <w:sz w:val="28"/>
          <w:szCs w:val="28"/>
        </w:rPr>
      </w:pPr>
    </w:p>
    <w:p w:rsidR="008F12D2" w:rsidRDefault="008F12D2" w:rsidP="008F12D2">
      <w:pPr>
        <w:jc w:val="center"/>
        <w:rPr>
          <w:b/>
          <w:sz w:val="28"/>
          <w:szCs w:val="28"/>
        </w:rPr>
      </w:pPr>
    </w:p>
    <w:p w:rsidR="008F12D2" w:rsidRDefault="008F12D2" w:rsidP="008F12D2">
      <w:pPr>
        <w:jc w:val="center"/>
        <w:rPr>
          <w:b/>
          <w:sz w:val="28"/>
          <w:szCs w:val="28"/>
        </w:rPr>
      </w:pPr>
    </w:p>
    <w:p w:rsidR="008F12D2" w:rsidRDefault="008F12D2" w:rsidP="008F12D2">
      <w:pPr>
        <w:jc w:val="center"/>
        <w:rPr>
          <w:b/>
          <w:sz w:val="28"/>
          <w:szCs w:val="28"/>
        </w:rPr>
      </w:pPr>
    </w:p>
    <w:p w:rsidR="008F12D2" w:rsidRDefault="008F12D2" w:rsidP="008F12D2">
      <w:pPr>
        <w:jc w:val="center"/>
        <w:rPr>
          <w:b/>
          <w:sz w:val="28"/>
          <w:szCs w:val="28"/>
        </w:rPr>
      </w:pPr>
    </w:p>
    <w:p w:rsidR="000C3FCD" w:rsidRDefault="000C3FCD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8F12D2" w:rsidRDefault="008F12D2" w:rsidP="008F1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Second Grade</w:t>
      </w:r>
    </w:p>
    <w:p w:rsidR="008F12D2" w:rsidRDefault="008F12D2" w:rsidP="008F1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SL2.</w:t>
      </w:r>
      <w:r w:rsidR="00730597">
        <w:rPr>
          <w:b/>
          <w:sz w:val="28"/>
          <w:szCs w:val="28"/>
        </w:rPr>
        <w:t>2 Recount or describe key ideas or details from a text read aloud or information presented orally or through other media.  (See RL.2.2 and RI.2.2)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60759D" w:rsidTr="00AC52FE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55F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55F0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55F0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55F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60759D" w:rsidTr="00730597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Pr="00455F0E" w:rsidRDefault="00730597" w:rsidP="007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Recount key details from a text read aloud, a video, or painting.  To recount is to tell in detail.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60759D" w:rsidRDefault="0060759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FCD" w:rsidTr="00730597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730597" w:rsidP="007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key ideas from a text read aloud, a video, or painting.  (Teacher should give students a graphic organizer or note-taking sheet to provide a scaffold for students.)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59D" w:rsidRDefault="0060759D" w:rsidP="008F12D2">
      <w:pPr>
        <w:jc w:val="center"/>
        <w:rPr>
          <w:b/>
          <w:sz w:val="28"/>
          <w:szCs w:val="28"/>
        </w:rPr>
      </w:pPr>
    </w:p>
    <w:p w:rsidR="0060759D" w:rsidRDefault="0060759D" w:rsidP="008F12D2">
      <w:pPr>
        <w:jc w:val="center"/>
        <w:rPr>
          <w:b/>
          <w:sz w:val="28"/>
          <w:szCs w:val="28"/>
        </w:rPr>
      </w:pPr>
    </w:p>
    <w:p w:rsidR="0060759D" w:rsidRDefault="0060759D" w:rsidP="008F12D2">
      <w:pPr>
        <w:jc w:val="center"/>
        <w:rPr>
          <w:b/>
          <w:sz w:val="28"/>
          <w:szCs w:val="28"/>
        </w:rPr>
      </w:pPr>
    </w:p>
    <w:p w:rsidR="0060759D" w:rsidRDefault="0060759D" w:rsidP="008F12D2">
      <w:pPr>
        <w:jc w:val="center"/>
        <w:rPr>
          <w:b/>
          <w:sz w:val="28"/>
          <w:szCs w:val="28"/>
        </w:rPr>
      </w:pPr>
    </w:p>
    <w:p w:rsidR="0060759D" w:rsidRDefault="0060759D" w:rsidP="008F12D2">
      <w:pPr>
        <w:jc w:val="center"/>
        <w:rPr>
          <w:b/>
          <w:sz w:val="28"/>
          <w:szCs w:val="28"/>
        </w:rPr>
      </w:pPr>
    </w:p>
    <w:p w:rsidR="0060759D" w:rsidRDefault="0060759D" w:rsidP="008F12D2">
      <w:pPr>
        <w:jc w:val="center"/>
        <w:rPr>
          <w:b/>
          <w:sz w:val="28"/>
          <w:szCs w:val="28"/>
        </w:rPr>
      </w:pPr>
    </w:p>
    <w:p w:rsidR="0060759D" w:rsidRDefault="0060759D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730597" w:rsidRDefault="00730597" w:rsidP="008F12D2">
      <w:pPr>
        <w:jc w:val="center"/>
        <w:rPr>
          <w:b/>
          <w:sz w:val="28"/>
          <w:szCs w:val="28"/>
        </w:rPr>
      </w:pPr>
    </w:p>
    <w:p w:rsidR="0060759D" w:rsidRDefault="0060759D" w:rsidP="008F1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Third Grade</w:t>
      </w:r>
    </w:p>
    <w:p w:rsidR="009512F0" w:rsidRDefault="0060759D" w:rsidP="009512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SL.3.</w:t>
      </w:r>
      <w:r w:rsidR="00730597">
        <w:rPr>
          <w:b/>
          <w:sz w:val="28"/>
          <w:szCs w:val="28"/>
        </w:rPr>
        <w:t xml:space="preserve">2  </w:t>
      </w:r>
      <w:r w:rsidR="002451F2">
        <w:rPr>
          <w:b/>
          <w:sz w:val="28"/>
          <w:szCs w:val="28"/>
        </w:rPr>
        <w:t>Determine the main ideas and supporting details of a text read aloud or information presented in diverse media and formats including visually, quantitatively, and orally. (See RL.3.2 and RI.3.2)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9512F0" w:rsidTr="00AC52FE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55F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55F0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55F0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55F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9512F0" w:rsidTr="002451F2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Pr="00455F0E" w:rsidRDefault="002451F2" w:rsidP="00245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 the main idea of a text read aloud, a presentation given, or information presented in videos, paintings, graphs, or charts.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2F0" w:rsidTr="00AC52FE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Pr="00455F0E" w:rsidRDefault="002451F2" w:rsidP="002451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details that support the main idea of a text read aloud, a presentation given, or information presented in videos, paintings, graphs, or charts.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9512F0" w:rsidRDefault="009512F0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2F0" w:rsidRDefault="009512F0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2451F2" w:rsidRDefault="002451F2" w:rsidP="009512F0">
      <w:pPr>
        <w:jc w:val="center"/>
        <w:rPr>
          <w:b/>
          <w:sz w:val="28"/>
          <w:szCs w:val="28"/>
        </w:rPr>
      </w:pPr>
    </w:p>
    <w:p w:rsidR="000C3FCD" w:rsidRDefault="000C3FCD" w:rsidP="0095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Fourth Grade</w:t>
      </w:r>
    </w:p>
    <w:p w:rsidR="000C3FCD" w:rsidRDefault="000C3FCD" w:rsidP="0095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SL.4.</w:t>
      </w:r>
      <w:r w:rsidR="002451F2">
        <w:rPr>
          <w:b/>
          <w:sz w:val="28"/>
          <w:szCs w:val="28"/>
        </w:rPr>
        <w:t>2  Paraphrase portions of a text read aloud or information presented in diverse media and formats, including visually, quantitatively, and orally. (See RL.4.2 and RI.4.2)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0C3FCD" w:rsidTr="00AC52FE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55F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55F0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55F0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55F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0C3FCD" w:rsidTr="000C7A77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Pr="00455F0E" w:rsidRDefault="002451F2" w:rsidP="00AC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their own words, students will be able to communicate the ideas and details presented in portions of a text read aloud, a presentation given, or information presented in videos, paintings, graphs, or charts.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A0A" w:rsidTr="00D11A0A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will begin to take on assigned roles in discussions (with teacher support the first three quarters). (SL.4.1b)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FCD" w:rsidTr="00D11A0A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Pr="00455F0E" w:rsidRDefault="00D11A0A" w:rsidP="00AC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 explicitly to the text or material being discussed when speaking about the topic or text. (SL.4.1a)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FCD" w:rsidTr="000C7A77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Pr="00455F0E" w:rsidRDefault="00D11A0A" w:rsidP="000C7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Ask questions and respond to questions to clarify information or follow up on information.  </w:t>
            </w:r>
            <w:r w:rsidR="000C7A77">
              <w:rPr>
                <w:b/>
                <w:sz w:val="20"/>
                <w:szCs w:val="20"/>
              </w:rPr>
              <w:t>(Craft questions ahead of time</w:t>
            </w:r>
            <w:r>
              <w:rPr>
                <w:b/>
                <w:sz w:val="20"/>
                <w:szCs w:val="20"/>
              </w:rPr>
              <w:t>.</w:t>
            </w:r>
            <w:r w:rsidR="000C7A77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(SL.4.1c)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FCD" w:rsidTr="00D11A0A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D11A0A" w:rsidP="00D11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graphic organizers to keep track of ideas and discussion, then review that information and explain their own thoughts and conclusions in light of the discussion notes. (SL.4.1d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0C3FCD" w:rsidRDefault="000C3FCD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FCD" w:rsidRPr="000C3FCD" w:rsidRDefault="000C3FCD" w:rsidP="009512F0">
      <w:pPr>
        <w:jc w:val="center"/>
        <w:rPr>
          <w:b/>
          <w:sz w:val="28"/>
          <w:szCs w:val="28"/>
        </w:rPr>
      </w:pPr>
    </w:p>
    <w:p w:rsidR="000C3FCD" w:rsidRDefault="000C3FCD" w:rsidP="009512F0">
      <w:pPr>
        <w:jc w:val="center"/>
        <w:rPr>
          <w:b/>
          <w:sz w:val="28"/>
          <w:szCs w:val="28"/>
        </w:rPr>
      </w:pPr>
    </w:p>
    <w:p w:rsidR="00D11A0A" w:rsidRDefault="00D11A0A" w:rsidP="0095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Fifth Grade</w:t>
      </w:r>
    </w:p>
    <w:p w:rsidR="00D11A0A" w:rsidRDefault="00D11A0A" w:rsidP="00D11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SL.5.1 Engage effectively in a range of collaborative discussions (one-on-one, in groups, and teacher-led) with diverse partners on </w:t>
      </w:r>
      <w:r>
        <w:rPr>
          <w:b/>
          <w:i/>
          <w:sz w:val="28"/>
          <w:szCs w:val="28"/>
        </w:rPr>
        <w:t>grade 5 topics and texts</w:t>
      </w:r>
      <w:r>
        <w:rPr>
          <w:b/>
          <w:sz w:val="28"/>
          <w:szCs w:val="28"/>
        </w:rPr>
        <w:t>, building on others’ ideas and expressing their own clearly.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D11A0A" w:rsidTr="00AC52FE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55F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55F0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55F0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55F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D11A0A" w:rsidTr="000C7A77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Pr="00455F0E" w:rsidRDefault="00D11A0A" w:rsidP="00AC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 class anchor chart to state rules/norms for discussion.  (SL.4.1b)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1502" w:rsidTr="000C7A77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CD1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will take o</w:t>
            </w:r>
            <w:r w:rsidR="00CD1502">
              <w:rPr>
                <w:b/>
                <w:sz w:val="20"/>
                <w:szCs w:val="20"/>
              </w:rPr>
              <w:t>n assigned roles in discussions.</w:t>
            </w:r>
            <w:r>
              <w:rPr>
                <w:b/>
                <w:sz w:val="20"/>
                <w:szCs w:val="20"/>
              </w:rPr>
              <w:t xml:space="preserve"> (SL.4.1b)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A0A" w:rsidTr="00AC52FE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Pr="00455F0E" w:rsidRDefault="00D11A0A" w:rsidP="00CD1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 explicitly to the text or material being</w:t>
            </w:r>
            <w:r w:rsidR="00CD1502">
              <w:rPr>
                <w:b/>
                <w:sz w:val="20"/>
                <w:szCs w:val="20"/>
              </w:rPr>
              <w:t xml:space="preserve"> discussed</w:t>
            </w:r>
            <w:r>
              <w:rPr>
                <w:b/>
                <w:sz w:val="20"/>
                <w:szCs w:val="20"/>
              </w:rPr>
              <w:t>. (SL.4.1a)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1502" w:rsidTr="00250962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CD1502" w:rsidRPr="00CD1502" w:rsidRDefault="00CD1502" w:rsidP="00CD1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will begin to insert what they know </w:t>
            </w:r>
            <w:r>
              <w:rPr>
                <w:b/>
                <w:i/>
                <w:sz w:val="20"/>
                <w:szCs w:val="20"/>
              </w:rPr>
              <w:t>outside</w:t>
            </w:r>
            <w:r>
              <w:rPr>
                <w:b/>
                <w:sz w:val="20"/>
                <w:szCs w:val="20"/>
              </w:rPr>
              <w:t xml:space="preserve"> the text or topic.  Teachers’ should remind students that this must be from a reliable source.  Students should refer explicitly to the source being referenced. (SL.4.1a)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CD1502" w:rsidRDefault="00CD1502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1502" w:rsidTr="00CD1502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Pr="00455F0E" w:rsidRDefault="00D11A0A" w:rsidP="00CD1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 questions and respond to questions to clarify information or follow up on information.  (SL.4.1c)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A0A" w:rsidTr="00CD1502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graphic organizers to keep track of ideas and discussion, then review that information and explain their own thoughts and conclusions in light of the discussion notes. (SL.4.1d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D11A0A" w:rsidRDefault="00D11A0A" w:rsidP="00AC52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FCD" w:rsidRPr="009512F0" w:rsidRDefault="000C3FCD" w:rsidP="000C7A77">
      <w:pPr>
        <w:jc w:val="center"/>
        <w:rPr>
          <w:b/>
          <w:sz w:val="28"/>
          <w:szCs w:val="28"/>
        </w:rPr>
      </w:pPr>
    </w:p>
    <w:sectPr w:rsidR="000C3FCD" w:rsidRPr="009512F0" w:rsidSect="008F12D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97" w:rsidRDefault="00730597" w:rsidP="008F12D2">
      <w:r>
        <w:separator/>
      </w:r>
    </w:p>
  </w:endnote>
  <w:endnote w:type="continuationSeparator" w:id="0">
    <w:p w:rsidR="00730597" w:rsidRDefault="00730597" w:rsidP="008F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97" w:rsidRDefault="00730597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r>
      <w:rPr>
        <w:noProof/>
        <w:color w:val="7F7F7F" w:themeColor="background1" w:themeShade="7F"/>
      </w:rPr>
      <w:t>Goff/2015</w:t>
    </w:r>
  </w:p>
  <w:p w:rsidR="00730597" w:rsidRDefault="00730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97" w:rsidRDefault="00730597" w:rsidP="008F12D2">
      <w:r>
        <w:separator/>
      </w:r>
    </w:p>
  </w:footnote>
  <w:footnote w:type="continuationSeparator" w:id="0">
    <w:p w:rsidR="00730597" w:rsidRDefault="00730597" w:rsidP="008F1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DDC"/>
    <w:multiLevelType w:val="hybridMultilevel"/>
    <w:tmpl w:val="C1429C06"/>
    <w:lvl w:ilvl="0" w:tplc="87DEB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F12D2"/>
    <w:rsid w:val="000C3FCD"/>
    <w:rsid w:val="000C7A77"/>
    <w:rsid w:val="000D15ED"/>
    <w:rsid w:val="0013564C"/>
    <w:rsid w:val="00237843"/>
    <w:rsid w:val="002451F2"/>
    <w:rsid w:val="00250962"/>
    <w:rsid w:val="002D60D7"/>
    <w:rsid w:val="002E6285"/>
    <w:rsid w:val="003121BA"/>
    <w:rsid w:val="0033120B"/>
    <w:rsid w:val="00417539"/>
    <w:rsid w:val="00422E68"/>
    <w:rsid w:val="0048681F"/>
    <w:rsid w:val="004F6A74"/>
    <w:rsid w:val="00520774"/>
    <w:rsid w:val="005344BA"/>
    <w:rsid w:val="0060759D"/>
    <w:rsid w:val="00616CB8"/>
    <w:rsid w:val="00652A49"/>
    <w:rsid w:val="006C7239"/>
    <w:rsid w:val="006E7197"/>
    <w:rsid w:val="007031EF"/>
    <w:rsid w:val="00730597"/>
    <w:rsid w:val="00736871"/>
    <w:rsid w:val="00753865"/>
    <w:rsid w:val="007C1094"/>
    <w:rsid w:val="00821561"/>
    <w:rsid w:val="00880904"/>
    <w:rsid w:val="0088617F"/>
    <w:rsid w:val="00891E81"/>
    <w:rsid w:val="008A7DF6"/>
    <w:rsid w:val="008F12D2"/>
    <w:rsid w:val="009229B7"/>
    <w:rsid w:val="009512F0"/>
    <w:rsid w:val="009630FD"/>
    <w:rsid w:val="009B6A3A"/>
    <w:rsid w:val="00A0276A"/>
    <w:rsid w:val="00AC037F"/>
    <w:rsid w:val="00AC52FE"/>
    <w:rsid w:val="00AF11AE"/>
    <w:rsid w:val="00B0493A"/>
    <w:rsid w:val="00B261E0"/>
    <w:rsid w:val="00BA0895"/>
    <w:rsid w:val="00C364A4"/>
    <w:rsid w:val="00C555E2"/>
    <w:rsid w:val="00CD1502"/>
    <w:rsid w:val="00D11A0A"/>
    <w:rsid w:val="00D60D89"/>
    <w:rsid w:val="00E439DF"/>
    <w:rsid w:val="00E63BCD"/>
    <w:rsid w:val="00E67DDB"/>
    <w:rsid w:val="00ED1684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2D2"/>
    <w:pPr>
      <w:ind w:left="720"/>
      <w:contextualSpacing/>
    </w:pPr>
  </w:style>
  <w:style w:type="table" w:styleId="TableGrid">
    <w:name w:val="Table Grid"/>
    <w:basedOn w:val="TableNormal"/>
    <w:uiPriority w:val="59"/>
    <w:rsid w:val="008F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1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2D2"/>
  </w:style>
  <w:style w:type="paragraph" w:styleId="Footer">
    <w:name w:val="footer"/>
    <w:basedOn w:val="Normal"/>
    <w:link w:val="FooterChar"/>
    <w:uiPriority w:val="99"/>
    <w:unhideWhenUsed/>
    <w:rsid w:val="008F1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2D2"/>
  </w:style>
  <w:style w:type="paragraph" w:styleId="BalloonText">
    <w:name w:val="Balloon Text"/>
    <w:basedOn w:val="Normal"/>
    <w:link w:val="BalloonTextChar"/>
    <w:uiPriority w:val="99"/>
    <w:semiHidden/>
    <w:unhideWhenUsed/>
    <w:rsid w:val="008F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1D00-A5D5-4046-A845-ED99C258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2015-11-17T14:51:00Z</cp:lastPrinted>
  <dcterms:created xsi:type="dcterms:W3CDTF">2015-11-17T22:35:00Z</dcterms:created>
  <dcterms:modified xsi:type="dcterms:W3CDTF">2015-11-17T22:35:00Z</dcterms:modified>
</cp:coreProperties>
</file>